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40" w:line="480" w:lineRule="auto"/>
        <w:contextualSpacing w:val="0"/>
        <w:rPr>
          <w:sz w:val="28"/>
          <w:szCs w:val="28"/>
        </w:rPr>
      </w:pPr>
      <w:r w:rsidDel="00000000" w:rsidR="00000000" w:rsidRPr="00000000">
        <w:rPr>
          <w:sz w:val="28"/>
          <w:szCs w:val="28"/>
          <w:rtl w:val="0"/>
        </w:rPr>
        <w:t xml:space="preserve">Bolzen setzen - sicher und schnell</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bookmarkStart w:colFirst="0" w:colLast="0" w:name="_gjdgxs" w:id="0"/>
      <w:bookmarkEnd w:id="0"/>
      <w:r w:rsidDel="00000000" w:rsidR="00000000" w:rsidRPr="00000000">
        <w:rPr>
          <w:rFonts w:ascii="Arial" w:cs="Arial" w:eastAsia="Arial" w:hAnsi="Arial"/>
          <w:b w:val="0"/>
          <w:i w:val="1"/>
          <w:smallCaps w:val="0"/>
          <w:strike w:val="0"/>
          <w:color w:val="454545"/>
          <w:sz w:val="18"/>
          <w:szCs w:val="18"/>
          <w:u w:val="none"/>
          <w:shd w:fill="auto" w:val="clear"/>
          <w:vertAlign w:val="baseline"/>
          <w:rtl w:val="0"/>
        </w:rPr>
        <w:t xml:space="preserve">Ratingen, November 2017.</w:t>
      </w:r>
      <w:r w:rsidDel="00000000" w:rsidR="00000000" w:rsidRPr="00000000">
        <w:rPr>
          <w:rFonts w:ascii="Arial" w:cs="Arial" w:eastAsia="Arial" w:hAnsi="Arial"/>
          <w:b w:val="0"/>
          <w:i w:val="0"/>
          <w:smallCaps w:val="0"/>
          <w:strike w:val="0"/>
          <w:color w:val="454545"/>
          <w:sz w:val="18"/>
          <w:szCs w:val="18"/>
          <w:u w:val="none"/>
          <w:shd w:fill="auto" w:val="clear"/>
          <w:vertAlign w:val="baseline"/>
          <w:rtl w:val="0"/>
        </w:rPr>
        <w:t xml:space="preserve"> </w:t>
      </w:r>
      <w:r w:rsidDel="00000000" w:rsidR="00000000" w:rsidRPr="00000000">
        <w:rPr>
          <w:rFonts w:ascii="Helvetica Neue" w:cs="Helvetica Neue" w:eastAsia="Helvetica Neue" w:hAnsi="Helvetica Neue"/>
          <w:b w:val="0"/>
          <w:i w:val="0"/>
          <w:smallCaps w:val="0"/>
          <w:strike w:val="0"/>
          <w:color w:val="454545"/>
          <w:sz w:val="18"/>
          <w:szCs w:val="18"/>
          <w:u w:val="none"/>
          <w:shd w:fill="auto" w:val="clear"/>
          <w:vertAlign w:val="baseline"/>
          <w:rtl w:val="0"/>
        </w:rPr>
        <w:t xml:space="preserve">Immer mehr Anbauteile, Deckel, Verschalungen und Kappen pflastern den Unterboden der Fahrzeugkarosse.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54545"/>
          <w:sz w:val="18"/>
          <w:szCs w:val="18"/>
          <w:u w:val="none"/>
          <w:shd w:fill="auto" w:val="clear"/>
          <w:vertAlign w:val="baseline"/>
          <w:rtl w:val="0"/>
        </w:rPr>
        <w:t xml:space="preserve">Aus Zugänglichkeitsgründen ist es notwendig, hierzu die Karosserie zu drehen, damit diese Bolzen idealer Weise von oben oder der Seite angebracht werden können. Diese, auch „Grillstation“ genannte Anlage, muss im Fertigungstakt nicht nur schnell, sondern bedingt durch den zeitweisen Einsatz von Werkern, auch äußerst sicher gestaltet werden.</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454545"/>
          <w:sz w:val="18"/>
          <w:szCs w:val="18"/>
          <w:u w:val="none"/>
          <w:shd w:fill="auto" w:val="clear"/>
          <w:vertAlign w:val="baseline"/>
          <w:rtl w:val="0"/>
        </w:rPr>
        <w:t xml:space="preserve">Die EXPERT Hub-Dreheinheit vom Maschinenbauspezialisten Tünkers hat sich für diese Anwendung als ein Standard etabliert. Basis hierbei sind bewährte Betriebsmittel mit EXPERT Walzentrieb, die sowohl bei der Hubsäule, als auch bei den integrierten Dreheinheiten Verwendung finden.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Helvetica Neue" w:cs="Helvetica Neue" w:eastAsia="Helvetica Neue" w:hAnsi="Helvetica Neue"/>
          <w:b w:val="0"/>
          <w:i w:val="0"/>
          <w:smallCaps w:val="0"/>
          <w:strike w:val="0"/>
          <w:color w:val="454545"/>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contextualSpacing w:val="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Bildmaterial: </w:t>
        <w:tab/>
        <w:t xml:space="preserve">Hub-Dreheinheit 1-3</w:t>
      </w:r>
    </w:p>
    <w:p w:rsidR="00000000" w:rsidDel="00000000" w:rsidP="00000000" w:rsidRDefault="00000000" w:rsidRPr="00000000" w14:paraId="00000008">
      <w:pPr>
        <w:pBdr>
          <w:bottom w:color="000000" w:space="1" w:sz="4" w:val="single"/>
        </w:pBdr>
        <w:spacing w:after="240" w:lineRule="auto"/>
        <w:contextualSpacing w:val="0"/>
        <w:jc w:val="both"/>
        <w:rPr/>
      </w:pPr>
      <w:r w:rsidDel="00000000" w:rsidR="00000000" w:rsidRPr="00000000">
        <w:rPr>
          <w:rtl w:val="0"/>
        </w:rPr>
      </w:r>
    </w:p>
    <w:p w:rsidR="00000000" w:rsidDel="00000000" w:rsidP="00000000" w:rsidRDefault="00000000" w:rsidRPr="00000000" w14:paraId="00000009">
      <w:pPr>
        <w:spacing w:after="240" w:lineRule="auto"/>
        <w:contextualSpacing w:val="0"/>
        <w:jc w:val="both"/>
        <w:rPr>
          <w:rFonts w:ascii="Calibri" w:cs="Calibri" w:eastAsia="Calibri" w:hAnsi="Calibri"/>
          <w:i w:val="1"/>
          <w:color w:val="000000"/>
          <w:sz w:val="18"/>
          <w:szCs w:val="18"/>
        </w:rPr>
      </w:pPr>
      <w:r w:rsidDel="00000000" w:rsidR="00000000" w:rsidRPr="00000000">
        <w:rPr>
          <w:rFonts w:ascii="Calibri" w:cs="Calibri" w:eastAsia="Calibri" w:hAnsi="Calibri"/>
          <w:i w:val="1"/>
          <w:color w:val="000000"/>
          <w:sz w:val="18"/>
          <w:szCs w:val="18"/>
          <w:rtl w:val="0"/>
        </w:rPr>
        <w:t xml:space="preserve">TÜNKERS bietet für die 9 gängigsten Funktionen im Umfeld des Roboters einen industrietauglichen Baukasten mit robusten und wartungsfreien Bausteinen für eine effiziente Anlagetechnik. TÜNKERS ist ein Familienunternehmen, das sich aus dem Maschinenbau zum Global Player für Automationstechnik entwickelt hat. TÜNKERS erfindet, konstruiert, produziert und vertreibt alle Produkte selber. Das internationale Vertriebsnetz von TÜNKERS erstreckt sich mit Tochtergesellschaften weltweit über die wichtigsten Länder mit einem hohen Absatzpotenzial für Automationstechnik. Hierzu gehören u. a. die USA, Mexiko, Brasilien, China, das Vereinigte Königreich, Frankreich und Spanien.</w:t>
      </w:r>
    </w:p>
    <w:p w:rsidR="00000000" w:rsidDel="00000000" w:rsidP="00000000" w:rsidRDefault="00000000" w:rsidRPr="00000000" w14:paraId="0000000A">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Ansprechpartner:</w:t>
      </w:r>
    </w:p>
    <w:p w:rsidR="00000000" w:rsidDel="00000000" w:rsidP="00000000" w:rsidRDefault="00000000" w:rsidRPr="00000000" w14:paraId="0000000B">
      <w:pPr>
        <w:contextualSpacing w:val="0"/>
        <w:jc w:val="both"/>
        <w:rPr>
          <w:rFonts w:ascii="Calibri" w:cs="Calibri" w:eastAsia="Calibri" w:hAnsi="Calibri"/>
          <w:color w:val="000000"/>
          <w:sz w:val="18"/>
          <w:szCs w:val="18"/>
        </w:rPr>
      </w:pPr>
      <w:r w:rsidDel="00000000" w:rsidR="00000000" w:rsidRPr="00000000">
        <w:rPr>
          <w:rtl w:val="0"/>
        </w:rPr>
      </w:r>
    </w:p>
    <w:p w:rsidR="00000000" w:rsidDel="00000000" w:rsidP="00000000" w:rsidRDefault="00000000" w:rsidRPr="00000000" w14:paraId="0000000C">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Frank Giebenhain</w:t>
      </w:r>
    </w:p>
    <w:p w:rsidR="00000000" w:rsidDel="00000000" w:rsidP="00000000" w:rsidRDefault="00000000" w:rsidRPr="00000000" w14:paraId="0000000D">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EXPERT-TÜNKERS GmbH</w:t>
      </w:r>
    </w:p>
    <w:p w:rsidR="00000000" w:rsidDel="00000000" w:rsidP="00000000" w:rsidRDefault="00000000" w:rsidRPr="00000000" w14:paraId="0000000E">
      <w:pPr>
        <w:contextualSpacing w:val="0"/>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Tel.: +49 / (0) 6251 592-0</w:t>
      </w:r>
    </w:p>
    <w:p w:rsidR="00000000" w:rsidDel="00000000" w:rsidP="00000000" w:rsidRDefault="00000000" w:rsidRPr="00000000" w14:paraId="0000000F">
      <w:pPr>
        <w:contextualSpacing w:val="0"/>
        <w:jc w:val="both"/>
        <w:rPr>
          <w:rFonts w:ascii="Calibri" w:cs="Calibri" w:eastAsia="Calibri" w:hAnsi="Calibri"/>
          <w:color w:val="000000"/>
          <w:sz w:val="18"/>
          <w:szCs w:val="18"/>
        </w:rPr>
      </w:pPr>
      <w:r w:rsidDel="00000000" w:rsidR="00000000" w:rsidRPr="00000000">
        <w:rPr>
          <w:rFonts w:ascii="Calibri" w:cs="Calibri" w:eastAsia="Calibri" w:hAnsi="Calibri"/>
          <w:color w:val="000000"/>
          <w:sz w:val="18"/>
          <w:szCs w:val="18"/>
          <w:rtl w:val="0"/>
        </w:rPr>
        <w:t xml:space="preserve">E-Mail: fgiebenhain@expert-tuenkers.de</w:t>
      </w:r>
    </w:p>
    <w:p w:rsidR="00000000" w:rsidDel="00000000" w:rsidP="00000000" w:rsidRDefault="00000000" w:rsidRPr="00000000" w14:paraId="00000010">
      <w:pPr>
        <w:contextualSpacing w:val="0"/>
        <w:jc w:val="both"/>
        <w:rPr/>
      </w:pPr>
      <w:hyperlink r:id="rId6">
        <w:r w:rsidDel="00000000" w:rsidR="00000000" w:rsidRPr="00000000">
          <w:rPr>
            <w:rFonts w:ascii="Calibri" w:cs="Calibri" w:eastAsia="Calibri" w:hAnsi="Calibri"/>
            <w:color w:val="0000ff"/>
            <w:sz w:val="18"/>
            <w:szCs w:val="18"/>
            <w:u w:val="single"/>
            <w:rtl w:val="0"/>
          </w:rPr>
          <w:t xml:space="preserve">www.expert-tuenkers.de</w:t>
        </w:r>
      </w:hyperlink>
      <w:r w:rsidDel="00000000" w:rsidR="00000000" w:rsidRPr="00000000">
        <w:rPr>
          <w:rtl w:val="0"/>
        </w:rPr>
      </w:r>
    </w:p>
    <w:p w:rsidR="00000000" w:rsidDel="00000000" w:rsidP="00000000" w:rsidRDefault="00000000" w:rsidRPr="00000000" w14:paraId="00000011">
      <w:pPr>
        <w:contextualSpacing w:val="0"/>
        <w:rPr>
          <w:rFonts w:ascii="Calibri" w:cs="Calibri" w:eastAsia="Calibri" w:hAnsi="Calibri"/>
          <w:color w:val="9a9a9a"/>
          <w:sz w:val="18"/>
          <w:szCs w:val="18"/>
        </w:rPr>
      </w:pPr>
      <w:r w:rsidDel="00000000" w:rsidR="00000000" w:rsidRPr="00000000">
        <w:br w:type="page"/>
      </w:r>
      <w:r w:rsidDel="00000000" w:rsidR="00000000" w:rsidRPr="00000000">
        <w:rPr>
          <w:rtl w:val="0"/>
        </w:rPr>
      </w:r>
    </w:p>
    <w:p w:rsidR="00000000" w:rsidDel="00000000" w:rsidP="00000000" w:rsidRDefault="00000000" w:rsidRPr="00000000" w14:paraId="00000012">
      <w:pPr>
        <w:contextualSpacing w:val="0"/>
        <w:jc w:val="center"/>
        <w:rPr>
          <w:rFonts w:ascii="Calibri" w:cs="Calibri" w:eastAsia="Calibri" w:hAnsi="Calibri"/>
          <w:color w:val="9a9a9a"/>
          <w:sz w:val="18"/>
          <w:szCs w:val="18"/>
        </w:rPr>
      </w:pPr>
      <w:r w:rsidDel="00000000" w:rsidR="00000000" w:rsidRPr="00000000">
        <w:rPr>
          <w:rFonts w:ascii="Calibri" w:cs="Calibri" w:eastAsia="Calibri" w:hAnsi="Calibri"/>
          <w:color w:val="9a9a9a"/>
          <w:sz w:val="18"/>
          <w:szCs w:val="18"/>
        </w:rPr>
        <w:drawing>
          <wp:inline distB="0" distT="0" distL="0" distR="0">
            <wp:extent cx="3861653" cy="2192347"/>
            <wp:effectExtent b="0" l="0" r="0" t="0"/>
            <wp:docPr descr="Hub-Dreheinheit-01.jpg" id="2" name="image5.jpg"/>
            <a:graphic>
              <a:graphicData uri="http://schemas.openxmlformats.org/drawingml/2006/picture">
                <pic:pic>
                  <pic:nvPicPr>
                    <pic:cNvPr descr="Hub-Dreheinheit-01.jpg" id="0" name="image5.jpg"/>
                    <pic:cNvPicPr preferRelativeResize="0"/>
                  </pic:nvPicPr>
                  <pic:blipFill>
                    <a:blip r:embed="rId7"/>
                    <a:srcRect b="0" l="0" r="0" t="0"/>
                    <a:stretch>
                      <a:fillRect/>
                    </a:stretch>
                  </pic:blipFill>
                  <pic:spPr>
                    <a:xfrm>
                      <a:off x="0" y="0"/>
                      <a:ext cx="3861653" cy="2192347"/>
                    </a:xfrm>
                    <a:prstGeom prst="rect"/>
                    <a:ln/>
                  </pic:spPr>
                </pic:pic>
              </a:graphicData>
            </a:graphic>
          </wp:inline>
        </w:drawing>
      </w:r>
      <w:r w:rsidDel="00000000" w:rsidR="00000000" w:rsidRPr="00000000">
        <w:rPr>
          <w:rFonts w:ascii="Calibri" w:cs="Calibri" w:eastAsia="Calibri" w:hAnsi="Calibri"/>
          <w:color w:val="9a9a9a"/>
          <w:sz w:val="18"/>
          <w:szCs w:val="18"/>
        </w:rPr>
        <w:drawing>
          <wp:inline distB="0" distT="0" distL="0" distR="0">
            <wp:extent cx="3874112" cy="2199421"/>
            <wp:effectExtent b="0" l="0" r="0" t="0"/>
            <wp:docPr descr="Hub-Dreheinheit-02.jpg" id="4" name="image8.jpg"/>
            <a:graphic>
              <a:graphicData uri="http://schemas.openxmlformats.org/drawingml/2006/picture">
                <pic:pic>
                  <pic:nvPicPr>
                    <pic:cNvPr descr="Hub-Dreheinheit-02.jpg" id="0" name="image8.jpg"/>
                    <pic:cNvPicPr preferRelativeResize="0"/>
                  </pic:nvPicPr>
                  <pic:blipFill>
                    <a:blip r:embed="rId8"/>
                    <a:srcRect b="0" l="0" r="0" t="0"/>
                    <a:stretch>
                      <a:fillRect/>
                    </a:stretch>
                  </pic:blipFill>
                  <pic:spPr>
                    <a:xfrm>
                      <a:off x="0" y="0"/>
                      <a:ext cx="3874112" cy="2199421"/>
                    </a:xfrm>
                    <a:prstGeom prst="rect"/>
                    <a:ln/>
                  </pic:spPr>
                </pic:pic>
              </a:graphicData>
            </a:graphic>
          </wp:inline>
        </w:drawing>
      </w:r>
      <w:r w:rsidDel="00000000" w:rsidR="00000000" w:rsidRPr="00000000">
        <w:rPr>
          <w:rFonts w:ascii="Calibri" w:cs="Calibri" w:eastAsia="Calibri" w:hAnsi="Calibri"/>
          <w:color w:val="9a9a9a"/>
          <w:sz w:val="18"/>
          <w:szCs w:val="18"/>
        </w:rPr>
        <w:drawing>
          <wp:inline distB="0" distT="0" distL="0" distR="0">
            <wp:extent cx="3869771" cy="2196957"/>
            <wp:effectExtent b="0" l="0" r="0" t="0"/>
            <wp:docPr descr="Hub-Dreheinheit-03.jpg" id="3" name="image6.jpg"/>
            <a:graphic>
              <a:graphicData uri="http://schemas.openxmlformats.org/drawingml/2006/picture">
                <pic:pic>
                  <pic:nvPicPr>
                    <pic:cNvPr descr="Hub-Dreheinheit-03.jpg" id="0" name="image6.jpg"/>
                    <pic:cNvPicPr preferRelativeResize="0"/>
                  </pic:nvPicPr>
                  <pic:blipFill>
                    <a:blip r:embed="rId9"/>
                    <a:srcRect b="0" l="0" r="0" t="0"/>
                    <a:stretch>
                      <a:fillRect/>
                    </a:stretch>
                  </pic:blipFill>
                  <pic:spPr>
                    <a:xfrm>
                      <a:off x="0" y="0"/>
                      <a:ext cx="3869771" cy="2196957"/>
                    </a:xfrm>
                    <a:prstGeom prst="rect"/>
                    <a:ln/>
                  </pic:spPr>
                </pic:pic>
              </a:graphicData>
            </a:graphic>
          </wp:inline>
        </w:drawing>
      </w:r>
      <w:r w:rsidDel="00000000" w:rsidR="00000000" w:rsidRPr="00000000">
        <w:rPr>
          <w:rtl w:val="0"/>
        </w:rPr>
      </w:r>
    </w:p>
    <w:sectPr>
      <w:headerReference r:id="rId10" w:type="default"/>
      <w:pgSz w:h="16838" w:w="11906"/>
      <w:pgMar w:bottom="1134" w:top="245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4453890</wp:posOffset>
          </wp:positionH>
          <wp:positionV relativeFrom="paragraph">
            <wp:posOffset>113029</wp:posOffset>
          </wp:positionV>
          <wp:extent cx="1946910" cy="462915"/>
          <wp:effectExtent b="0" l="0" r="0" t="0"/>
          <wp:wrapNone/>
          <wp:docPr descr="TUÌˆNKERS-Logo-dtsch-cmyk-01" id="1" name="image4.png"/>
          <a:graphic>
            <a:graphicData uri="http://schemas.openxmlformats.org/drawingml/2006/picture">
              <pic:pic>
                <pic:nvPicPr>
                  <pic:cNvPr descr="TUÌˆNKERS-Logo-dtsch-cmyk-01" id="0" name="image4.png"/>
                  <pic:cNvPicPr preferRelativeResize="0"/>
                </pic:nvPicPr>
                <pic:blipFill>
                  <a:blip r:embed="rId1"/>
                  <a:srcRect b="0" l="0" r="0" t="0"/>
                  <a:stretch>
                    <a:fillRect/>
                  </a:stretch>
                </pic:blipFill>
                <pic:spPr>
                  <a:xfrm>
                    <a:off x="0" y="0"/>
                    <a:ext cx="1946910" cy="46291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3940" cy="276225"/>
              <wp:effectExtent b="0" l="0" r="0" t="0"/>
              <wp:wrapNone/>
              <wp:docPr id="5" name=""/>
              <a:graphic>
                <a:graphicData uri="http://schemas.microsoft.com/office/word/2010/wordprocessingShape">
                  <wps:wsp>
                    <wps:cNvSpPr/>
                    <wps:cNvPr id="2" name="Shape 2"/>
                    <wps:spPr>
                      <a:xfrm>
                        <a:off x="4193793" y="3646650"/>
                        <a:ext cx="2304415" cy="2667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PRESSEMITTEILUNG</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-63499</wp:posOffset>
              </wp:positionH>
              <wp:positionV relativeFrom="paragraph">
                <wp:posOffset>190500</wp:posOffset>
              </wp:positionV>
              <wp:extent cx="2313940" cy="276225"/>
              <wp:effectExtent b="0" l="0" r="0" t="0"/>
              <wp:wrapNone/>
              <wp:docPr id="5" name="image10.png"/>
              <a:graphic>
                <a:graphicData uri="http://schemas.openxmlformats.org/drawingml/2006/picture">
                  <pic:pic>
                    <pic:nvPicPr>
                      <pic:cNvPr id="0" name="image10.png"/>
                      <pic:cNvPicPr preferRelativeResize="0"/>
                    </pic:nvPicPr>
                    <pic:blipFill>
                      <a:blip r:embed="rId2"/>
                      <a:srcRect/>
                      <a:stretch>
                        <a:fillRect/>
                      </a:stretch>
                    </pic:blipFill>
                    <pic:spPr>
                      <a:xfrm>
                        <a:off x="0" y="0"/>
                        <a:ext cx="2313940" cy="2762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4"/>
        <w:szCs w:val="24"/>
        <w:u w:val="none"/>
        <w:shd w:fill="auto" w:val="clear"/>
        <w:vertAlign w:val="baseline"/>
        <w:lang w:val="de-D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6.jpg"/><Relationship Id="rId5" Type="http://schemas.openxmlformats.org/officeDocument/2006/relationships/styles" Target="styles.xml"/><Relationship Id="rId6" Type="http://schemas.openxmlformats.org/officeDocument/2006/relationships/hyperlink" Target="http://www.expert-tuenkers.de" TargetMode="External"/><Relationship Id="rId7" Type="http://schemas.openxmlformats.org/officeDocument/2006/relationships/image" Target="media/image5.jpg"/><Relationship Id="rId8" Type="http://schemas.openxmlformats.org/officeDocument/2006/relationships/image" Target="media/image8.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