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sz w:val="28"/>
          <w:szCs w:val="28"/>
        </w:rPr>
      </w:pPr>
      <w:r w:rsidDel="00000000" w:rsidR="00000000" w:rsidRPr="00000000">
        <w:rPr>
          <w:sz w:val="28"/>
          <w:szCs w:val="28"/>
          <w:rtl w:val="0"/>
        </w:rPr>
        <w:t xml:space="preserve">Werkzeug wechsel Dich</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April 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Das klassische Werkzeug-Wechsel-System basiert auf einem Rundtaktdrehtisch, der das jeweils benötigte Werkzeug in die Arbeitsstation verfährt.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Für komplexe Arbeitsinhalte ist die Zugänglichkeit an den Drehtischsegmenten (3er-Teilung, 4er-Teilung) eingeschränkt und es ist sinnvoll, die eigentliche Bearbeitungsstation auszulagern.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Diese Anwendung optimiert das flexible Werkzeug-Wechsel-System von EXPERT-TÜNKERS, in dem die einzelnen Werkzeuge auf Paletten positioniert sind.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Somit lassen sich mehrere Vorrichtungsskids puffern und bedarfsgerecht der Bearbeitungsstation zugeführt werden. Die Überbrückung zur Arbeitsstation wird über eine feststehende Rollenbahn und einen Rollenbock vorgenommen.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w:t>
        <w:tab/>
        <w:t xml:space="preserve">Expert-Tünkers Werkzeug-Wechsel-System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0" distT="0" distL="0" distR="0">
            <wp:extent cx="5760720" cy="3642168"/>
            <wp:effectExtent b="0" l="0" r="0" t="0"/>
            <wp:docPr descr="H:\Marketing\redaktion\April 2016\Tünkers Werkzeugwechselsytem kl.jpg" id="1" name="image3.jpg"/>
            <a:graphic>
              <a:graphicData uri="http://schemas.openxmlformats.org/drawingml/2006/picture">
                <pic:pic>
                  <pic:nvPicPr>
                    <pic:cNvPr descr="H:\Marketing\redaktion\April 2016\Tünkers Werkzeugwechselsytem kl.jpg" id="0" name="image3.jpg"/>
                    <pic:cNvPicPr preferRelativeResize="0"/>
                  </pic:nvPicPr>
                  <pic:blipFill>
                    <a:blip r:embed="rId6"/>
                    <a:srcRect b="0" l="0" r="0" t="0"/>
                    <a:stretch>
                      <a:fillRect/>
                    </a:stretch>
                  </pic:blipFill>
                  <pic:spPr>
                    <a:xfrm>
                      <a:off x="0" y="0"/>
                      <a:ext cx="5760720" cy="364216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9">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A">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Paavo Braun</w:t>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EXPERT-TÜNKERS GmbH</w:t>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06251 / 592 296</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pbraun@expert-tuenkers.de</w:t>
      </w:r>
    </w:p>
    <w:p w:rsidR="00000000" w:rsidDel="00000000" w:rsidP="00000000" w:rsidRDefault="00000000" w:rsidRPr="00000000" w14:paraId="00000010">
      <w:pPr>
        <w:contextualSpacing w:val="0"/>
        <w:jc w:val="both"/>
        <w:rPr>
          <w:sz w:val="22"/>
          <w:szCs w:val="22"/>
        </w:rPr>
      </w:pPr>
      <w:bookmarkStart w:colFirst="0" w:colLast="0" w:name="_gjdgxs" w:id="0"/>
      <w:bookmarkEnd w:id="0"/>
      <w:hyperlink r:id="rId7">
        <w:r w:rsidDel="00000000" w:rsidR="00000000" w:rsidRPr="00000000">
          <w:rPr>
            <w:rFonts w:ascii="Calibri" w:cs="Calibri" w:eastAsia="Calibri" w:hAnsi="Calibri"/>
            <w:color w:val="0000ff"/>
            <w:sz w:val="18"/>
            <w:szCs w:val="18"/>
            <w:u w:val="single"/>
            <w:rtl w:val="0"/>
          </w:rPr>
          <w:t xml:space="preserve">www.expert-tuenkers.de</w:t>
        </w:r>
      </w:hyperlink>
      <w:r w:rsidDel="00000000" w:rsidR="00000000" w:rsidRPr="00000000">
        <w:rPr>
          <w:rtl w:val="0"/>
        </w:rPr>
      </w:r>
    </w:p>
    <w:sectPr>
      <w:headerReference r:id="rId8"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2"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
              <a:graphic>
                <a:graphicData uri="http://schemas.microsoft.com/office/word/2010/wordprocessingShape">
                  <wps:wsp>
                    <wps:cNvSpPr/>
                    <wps:cNvPr id="2" name="Shape 2"/>
                    <wps:spPr>
                      <a:xfrm>
                        <a:off x="4194745" y="3646650"/>
                        <a:ext cx="2302510"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www.expert-tuenkers.d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