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480" w:lineRule="auto"/>
        <w:contextualSpacing w:val="0"/>
        <w:rPr>
          <w:sz w:val="28"/>
          <w:szCs w:val="28"/>
        </w:rPr>
      </w:pPr>
      <w:r w:rsidDel="00000000" w:rsidR="00000000" w:rsidRPr="00000000">
        <w:rPr>
          <w:sz w:val="28"/>
          <w:szCs w:val="28"/>
          <w:rtl w:val="0"/>
        </w:rPr>
        <w:t xml:space="preserve">Trommel trifft Karussell</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Ratingen, Juli 2016.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Die EXPERT-TÜNKERS GmbH, Spezialist für die Entwicklung von Drehtischen und Fertigungsverfahren, hat eine neue „Dreh-Trommel-Einheit“ für die Automobilindustrie konstruiert.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 dem flexiblen Vorrichtungssystem kommen gleich drei Drehtische von EXPERT-TÜNKERS zum Einsatz: ein Typ EDH 1370 als vertikale Drehachse und zwei EDH 960 für die Trommelachse.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 Besonderheit wurde bei dieser Trommelachse hier nicht wie üblich mit einer aktiven Antriebsseite und einer passiven Gegenseite operiert. Die Leistungsanforderungen und auch die kundenseitig geforderte hohe Präzision bei der Synchronisation – Gleichlauf von beiden Seiten – waren ausschlaggebend für das Konzept mit zwei Antrieben.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Beide mit Servoantrieben ausgerüsteten Drehtische sind elektrisch synchronisiert. Eingesetzt wird die „Dreh-Trommel-Einheit“ unter anderem bei der flexiblen Fertigung von verschiedenen Baugruppen für ein Premiumfahrzeug eines namhaften deutschen OEMs.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24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tabs>
          <w:tab w:val="left" w:pos="1843"/>
        </w:tabs>
        <w:spacing w:after="240" w:lineRule="auto"/>
        <w:contextualSpacing w:val="0"/>
        <w:rPr>
          <w:b w:val="1"/>
          <w:sz w:val="18"/>
          <w:szCs w:val="18"/>
        </w:rPr>
      </w:pPr>
      <w:r w:rsidDel="00000000" w:rsidR="00000000" w:rsidRPr="00000000">
        <w:rPr>
          <w:b w:val="1"/>
          <w:sz w:val="18"/>
          <w:szCs w:val="18"/>
          <w:rtl w:val="0"/>
        </w:rPr>
        <w:t xml:space="preserve">Bildmaterial: </w:t>
        <w:tab/>
      </w:r>
      <w:r w:rsidDel="00000000" w:rsidR="00000000" w:rsidRPr="00000000">
        <w:rPr>
          <w:sz w:val="18"/>
          <w:szCs w:val="18"/>
          <w:rtl w:val="0"/>
        </w:rPr>
        <w:t xml:space="preserve">Trommel trifft Karussell.jpg</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pBdr>
          <w:bottom w:color="000000" w:space="1" w:sz="4" w:val="single"/>
        </w:pBdr>
        <w:spacing w:after="240" w:lineRule="auto"/>
        <w:contextualSpacing w:val="0"/>
        <w:jc w:val="both"/>
        <w:rPr/>
      </w:pPr>
      <w:r w:rsidDel="00000000" w:rsidR="00000000" w:rsidRPr="00000000">
        <w:rPr>
          <w:rtl w:val="0"/>
        </w:rPr>
      </w:r>
    </w:p>
    <w:p w:rsidR="00000000" w:rsidDel="00000000" w:rsidP="00000000" w:rsidRDefault="00000000" w:rsidRPr="00000000" w14:paraId="0000000A">
      <w:pPr>
        <w:spacing w:after="240" w:lineRule="auto"/>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bietet für die 9 gängigsten Funktionen im Umfeld des Roboters einen industrietauglichen Baukasten mit robusten und wartungsfreien Bausteinen für eine effiziente Anlagetechnik. 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0B">
      <w:pPr>
        <w:spacing w:after="240" w:lineRule="auto"/>
        <w:contextualSpacing w:val="0"/>
        <w:jc w:val="both"/>
        <w:rPr>
          <w:rFonts w:ascii="Calibri" w:cs="Calibri" w:eastAsia="Calibri" w:hAnsi="Calibri"/>
          <w:color w:val="000000"/>
          <w:sz w:val="18"/>
          <w:szCs w:val="1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4543</wp:posOffset>
            </wp:positionH>
            <wp:positionV relativeFrom="paragraph">
              <wp:posOffset>174625</wp:posOffset>
            </wp:positionV>
            <wp:extent cx="1784350" cy="361950"/>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784350" cy="361950"/>
                    </a:xfrm>
                    <a:prstGeom prst="rect"/>
                    <a:ln/>
                  </pic:spPr>
                </pic:pic>
              </a:graphicData>
            </a:graphic>
          </wp:anchor>
        </w:drawing>
      </w:r>
    </w:p>
    <w:p w:rsidR="00000000" w:rsidDel="00000000" w:rsidP="00000000" w:rsidRDefault="00000000" w:rsidRPr="00000000" w14:paraId="0000000C">
      <w:pPr>
        <w:spacing w:after="240" w:lineRule="auto"/>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D">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0E">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Frank Giebenhain</w:t>
      </w:r>
    </w:p>
    <w:p w:rsidR="00000000" w:rsidDel="00000000" w:rsidP="00000000" w:rsidRDefault="00000000" w:rsidRPr="00000000" w14:paraId="0000000F">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EXPERT-TÜNKERS GmbH</w:t>
      </w:r>
    </w:p>
    <w:p w:rsidR="00000000" w:rsidDel="00000000" w:rsidP="00000000" w:rsidRDefault="00000000" w:rsidRPr="00000000" w14:paraId="00000010">
      <w:pPr>
        <w:contextualSpacing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Tel.: +49 / (0) 6251 592-0</w:t>
      </w:r>
    </w:p>
    <w:p w:rsidR="00000000" w:rsidDel="00000000" w:rsidP="00000000" w:rsidRDefault="00000000" w:rsidRPr="00000000" w14:paraId="00000011">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fgiebenhain@expert-tuenkers.de</w:t>
      </w:r>
    </w:p>
    <w:p w:rsidR="00000000" w:rsidDel="00000000" w:rsidP="00000000" w:rsidRDefault="00000000" w:rsidRPr="00000000" w14:paraId="00000012">
      <w:pPr>
        <w:contextualSpacing w:val="0"/>
        <w:jc w:val="both"/>
        <w:rPr/>
      </w:pPr>
      <w:hyperlink r:id="rId7">
        <w:r w:rsidDel="00000000" w:rsidR="00000000" w:rsidRPr="00000000">
          <w:rPr>
            <w:rFonts w:ascii="Calibri" w:cs="Calibri" w:eastAsia="Calibri" w:hAnsi="Calibri"/>
            <w:color w:val="0000ff"/>
            <w:sz w:val="18"/>
            <w:szCs w:val="18"/>
            <w:u w:val="single"/>
            <w:rtl w:val="0"/>
          </w:rPr>
          <w:t xml:space="preserve">www.expert-tuenkers.de</w:t>
        </w:r>
      </w:hyperlink>
      <w:r w:rsidDel="00000000" w:rsidR="00000000" w:rsidRPr="00000000">
        <w:rPr>
          <w:rtl w:val="0"/>
        </w:rPr>
      </w:r>
    </w:p>
    <w:p w:rsidR="00000000" w:rsidDel="00000000" w:rsidP="00000000" w:rsidRDefault="00000000" w:rsidRPr="00000000" w14:paraId="00000013">
      <w:pPr>
        <w:contextualSpacing w:val="0"/>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14">
      <w:pPr>
        <w:spacing w:after="240" w:lineRule="auto"/>
        <w:contextualSpacing w:val="0"/>
        <w:jc w:val="both"/>
        <w:rPr>
          <w:sz w:val="22"/>
          <w:szCs w:val="22"/>
        </w:rPr>
      </w:pPr>
      <w:r w:rsidDel="00000000" w:rsidR="00000000" w:rsidRPr="00000000">
        <w:rPr/>
        <w:drawing>
          <wp:inline distB="0" distT="0" distL="0" distR="0">
            <wp:extent cx="5760720" cy="3839028"/>
            <wp:effectExtent b="0" l="0" r="0" t="0"/>
            <wp:docPr descr="C:\Users\lh\AppData\Local\Microsoft\Windows\Temporary Internet Files\Content.Word\Trommel_trifft_Karussell.jpg" id="3" name="image6.jpg"/>
            <a:graphic>
              <a:graphicData uri="http://schemas.openxmlformats.org/drawingml/2006/picture">
                <pic:pic>
                  <pic:nvPicPr>
                    <pic:cNvPr descr="C:\Users\lh\AppData\Local\Microsoft\Windows\Temporary Internet Files\Content.Word\Trommel_trifft_Karussell.jpg" id="0" name="image6.jpg"/>
                    <pic:cNvPicPr preferRelativeResize="0"/>
                  </pic:nvPicPr>
                  <pic:blipFill>
                    <a:blip r:embed="rId8"/>
                    <a:srcRect b="0" l="0" r="0" t="0"/>
                    <a:stretch>
                      <a:fillRect/>
                    </a:stretch>
                  </pic:blipFill>
                  <pic:spPr>
                    <a:xfrm>
                      <a:off x="0" y="0"/>
                      <a:ext cx="5760720" cy="3839028"/>
                    </a:xfrm>
                    <a:prstGeom prst="rect"/>
                    <a:ln/>
                  </pic:spPr>
                </pic:pic>
              </a:graphicData>
            </a:graphic>
          </wp:inline>
        </w:drawing>
      </w:r>
      <w:r w:rsidDel="00000000" w:rsidR="00000000" w:rsidRPr="00000000">
        <w:rPr>
          <w:rtl w:val="0"/>
        </w:rPr>
      </w:r>
    </w:p>
    <w:sectPr>
      <w:headerReference r:id="rId9"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1" name="image2.png"/>
          <a:graphic>
            <a:graphicData uri="http://schemas.openxmlformats.org/drawingml/2006/picture">
              <pic:pic>
                <pic:nvPicPr>
                  <pic:cNvPr descr="TUÌˆNKERS-Logo-dtsch-cmyk-01" id="0" name="image2.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298700" cy="266700"/>
              <wp:effectExtent b="0" l="0" r="0" t="0"/>
              <wp:wrapNone/>
              <wp:docPr id="4" name=""/>
              <a:graphic>
                <a:graphicData uri="http://schemas.microsoft.com/office/word/2010/wordprocessingShape">
                  <wps:wsp>
                    <wps:cNvSpPr/>
                    <wps:cNvPr id="2" name="Shape 2"/>
                    <wps:spPr>
                      <a:xfrm>
                        <a:off x="4195380" y="3646650"/>
                        <a:ext cx="2301240" cy="266700"/>
                      </a:xfrm>
                      <a:custGeom>
                        <a:pathLst>
                          <a:path extrusionOk="0" h="266700" w="2301240">
                            <a:moveTo>
                              <a:pt x="0" y="0"/>
                            </a:moveTo>
                            <a:lnTo>
                              <a:pt x="0" y="266700"/>
                            </a:lnTo>
                            <a:lnTo>
                              <a:pt x="2301240" y="266700"/>
                            </a:lnTo>
                            <a:lnTo>
                              <a:pt x="230124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0" lIns="114300" spcFirstLastPara="1" rIns="11430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298700" cy="266700"/>
              <wp:effectExtent b="0" l="0" r="0" t="0"/>
              <wp:wrapNone/>
              <wp:docPr id="4"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22987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hyperlink" Target="http://www.expert-tuenkers.de" TargetMode="External"/><Relationship Id="rId8"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